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台湾的民间福利组织  资源的网络与动员</w:t>
      </w:r>
    </w:p>
    <w:p>
      <w:r>
        <w:rPr>
          <w:rFonts w:ascii="宋体" w:hAnsi="宋体" w:eastAsia="宋体"/>
          <w:sz w:val="24"/>
        </w:rPr>
        <w:t>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台湾的民间福利组织  资源的网络与动员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香港海峡两岸关系研究中心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本书出售、求购地址：https://www.jiaokey.com/book/detail/12252932.html</w:t>
      </w:r>
    </w:p>
    <w:p>
      <w:r>
        <w:t>更多相关图书推荐：https://www.jiaokey.com</w:t>
      </w:r>
    </w:p>
    <w:p>
      <w:r>
        <w:t>萧新煌著 其他作品：https://www.jiaokey.com/tag/萧新煌著.html</w:t>
      </w:r>
    </w:p>
    <w:p>
      <w:r>
        <w:t>香港海峡两岸关系研究中心 出版图书：https://www.jiaokey.com/tag/香港海峡两岸关系研究中心.html</w:t>
      </w:r>
    </w:p>
    <w:p>
      <w:r>
        <w:t>关键词搜索：https://www.jiaokey.com/tag/台湾的民间福利组织  资源的网络与动员.html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