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江南珍果  杨梅  枇杷  无花果</w:t>
      </w:r>
    </w:p>
    <w:p>
      <w:r>
        <w:rPr>
          <w:rFonts w:ascii="宋体" w:hAnsi="宋体" w:eastAsia="宋体"/>
          <w:sz w:val="24"/>
        </w:rPr>
        <w:t>吴耕民著；浙江农业大学园艺系编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江南珍果  杨梅  枇杷  无花果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吴耕民著；浙江农业大学园艺系编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本书出售、求购地址：https://www.jiaokey.com/book/detail/12245267.html</w:t>
      </w:r>
    </w:p>
    <w:p>
      <w:r>
        <w:t>更多相关图书推荐：https://www.jiaokey.com</w:t>
      </w:r>
    </w:p>
    <w:p>
      <w:r>
        <w:t>吴耕民著；浙江农业大学园艺系编 其他作品：https://www.jiaokey.com/tag/吴耕民著；浙江农业大学园艺系编.html</w:t>
      </w:r>
    </w:p>
    <w:p>
      <w:r>
        <w:t>关键词搜索：https://www.jiaokey.com/tag/江南珍果  杨梅  枇杷  无花果.html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