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我们这样阅读</w:t>
      </w:r>
    </w:p>
    <w:p>
      <w:r>
        <w:rPr>
          <w:rFonts w:ascii="宋体" w:hAnsi="宋体" w:eastAsia="宋体"/>
          <w:sz w:val="24"/>
        </w:rPr>
        <w:t>黄南冰，谢妙琼，杨俊东主编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我们这样阅读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黄南冰，谢妙琼，杨俊东主编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广州:广东教育出版社,2009.05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本书出售、求购地址：https://www.jiaokey.com/book/detail/12240109.html</w:t>
      </w:r>
    </w:p>
    <w:p>
      <w:r>
        <w:t>更多相关图书推荐：https://www.jiaokey.com</w:t>
      </w:r>
    </w:p>
    <w:p>
      <w:r>
        <w:t>黄南冰，谢妙琼，杨俊东主编 其他作品：https://www.jiaokey.com/tag/黄南冰，谢妙琼，杨俊东主编.html</w:t>
      </w:r>
    </w:p>
    <w:p>
      <w:r>
        <w:t>广州:广东教育出版社,2009.05 出版图书：https://www.jiaokey.com/tag/广州:广东教育出版社,2009.05.html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