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低产用材林现状调查研究</w:t>
      </w:r>
    </w:p>
    <w:p>
      <w:r>
        <w:rPr>
          <w:rFonts w:ascii="宋体" w:hAnsi="宋体" w:eastAsia="宋体"/>
          <w:sz w:val="24"/>
        </w:rPr>
        <w:t>全国林业调查规划科技情报网中南大区站编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低产用材林现状调查研究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全国林业调查规划科技情报网中南大区站编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林业部中南调查规划设计院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本书出售、求购地址：https://www.jiaokey.com/book/detail/12236228.html</w:t>
      </w:r>
    </w:p>
    <w:p>
      <w:r>
        <w:t>更多相关图书推荐：https://www.jiaokey.com</w:t>
      </w:r>
    </w:p>
    <w:p>
      <w:r>
        <w:t>全国林业调查规划科技情报网中南大区站编 其他作品：https://www.jiaokey.com/tag/全国林业调查规划科技情报网中南大区站编.html</w:t>
      </w:r>
    </w:p>
    <w:p>
      <w:r>
        <w:t>林业部中南调查规划设计院 出版图书：https://www.jiaokey.com/tag/林业部中南调查规划设计院.html</w:t>
      </w:r>
    </w:p>
    <w:p>
      <w:r>
        <w:t>关键词搜索：https://www.jiaokey.com/tag/低产用材林现状调查研究.html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