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农村人民公社经营管理基础知识</w:t>
      </w:r>
    </w:p>
    <w:p>
      <w:r>
        <w:rPr>
          <w:rFonts w:ascii="宋体" w:hAnsi="宋体" w:eastAsia="宋体"/>
          <w:sz w:val="24"/>
        </w:rPr>
        <w:t>佛山地区革命委员会农林水办公室，广东省农林学院农业经济教研组编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农村人民公社经营管理基础知识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佛山地区革命委员会农林水办公室，广东省农林学院农业经济教研组编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本书出售、求购地址：https://www.jiaokey.com/book/detail/12235764.html</w:t>
      </w:r>
    </w:p>
    <w:p>
      <w:r>
        <w:t>更多相关图书推荐：https://www.jiaokey.com</w:t>
      </w:r>
    </w:p>
    <w:p>
      <w:r>
        <w:t>佛山地区革命委员会农林水办公室，广东省农林学院农业经济教研组编 其他作品：https://www.jiaokey.com/tag/佛山地区革命委员会农林水办公室，广东省农林学院农业经济教研组编.html</w:t>
      </w:r>
    </w:p>
    <w:p>
      <w:r>
        <w:t>关键词搜索：https://www.jiaokey.com/tag/农村人民公社经营管理基础知识.html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