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连士升文选  现代人的精神粮食</w:t>
      </w:r>
    </w:p>
    <w:p>
      <w:r>
        <w:rPr>
          <w:rFonts w:ascii="宋体" w:hAnsi="宋体" w:eastAsia="宋体"/>
          <w:sz w:val="24"/>
        </w:rPr>
        <w:t>连亮思，连文思选编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连士升文选  现代人的精神粮食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连亮思，连文思选编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本书出售、求购地址：https://www.jiaokey.com/book/detail/12235713.html</w:t>
      </w:r>
    </w:p>
    <w:p>
      <w:r>
        <w:t>更多相关图书推荐：https://www.jiaokey.com</w:t>
      </w:r>
    </w:p>
    <w:p>
      <w:r>
        <w:t>连亮思，连文思选编 其他作品：https://www.jiaokey.com/tag/连亮思，连文思选编.html</w:t>
      </w:r>
    </w:p>
    <w:p>
      <w:r>
        <w:t>八方文化企业公司 出版图书：https://www.jiaokey.com/tag/八方文化企业公司.html</w:t>
      </w:r>
    </w:p>
    <w:p>
      <w:r>
        <w:t>关键词搜索：https://www.jiaokey.com/tag/连士升文选  现代人的精神粮食.html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