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中国进出口贸易产品的载能量及碳排放量分析</w:t>
      </w:r>
    </w:p>
    <w:p>
      <w:r>
        <w:rPr>
          <w:rFonts w:ascii="宋体" w:hAnsi="宋体" w:eastAsia="宋体"/>
          <w:sz w:val="24"/>
        </w:rPr>
        <w:t>韩文科，刘强，姜克隽等著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中国进出口贸易产品的载能量及碳排放量分析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韩文科，刘强，姜克隽等著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本书出售、求购地址：https://www.jiaokey.com/book/detail/12232881.html</w:t>
      </w:r>
    </w:p>
    <w:p>
      <w:r>
        <w:t>更多相关图书推荐：https://www.jiaokey.com</w:t>
      </w:r>
    </w:p>
    <w:p>
      <w:r>
        <w:t>韩文科，刘强，姜克隽等著 其他作品：https://www.jiaokey.com/tag/韩文科，刘强，姜克隽等著.html</w:t>
      </w:r>
    </w:p>
    <w:p>
      <w:r>
        <w:t>北京市：中国计划出版社 出版图书：https://www.jiaokey.com/tag/北京市：中国计划出版社.html</w:t>
      </w:r>
    </w:p>
    <w:p>
      <w:r>
        <w:t>关键词搜索：https://www.jiaokey.com/tag/中国进出口贸易产品的载能量及碳排放量分析.html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