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搞活林区经济的对策研究</w:t>
      </w:r>
    </w:p>
    <w:p>
      <w:r>
        <w:rPr>
          <w:rFonts w:ascii="宋体" w:hAnsi="宋体" w:eastAsia="宋体"/>
          <w:sz w:val="24"/>
        </w:rPr>
        <w:t>全国林业经济研究会编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搞活林区经济的对策研究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北京建材印刷厂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本书出售、求购地址：https://www.jiaokey.com/book/detail/12230514.html</w:t>
      </w:r>
    </w:p>
    <w:p>
      <w:r>
        <w:t>更多相关图书推荐：https://www.jiaokey.com</w:t>
      </w:r>
    </w:p>
    <w:p>
      <w:r>
        <w:t>全国林业经济研究会编 其他作品：https://www.jiaokey.com/tag/全国林业经济研究会编.html</w:t>
      </w:r>
    </w:p>
    <w:p>
      <w:r>
        <w:t>北京建材印刷厂 出版图书：https://www.jiaokey.com/tag/北京建材印刷厂.html</w:t>
      </w:r>
    </w:p>
    <w:p>
      <w:r>
        <w:t>关键词搜索：https://www.jiaokey.com/tag/搞活林区经济的对策研究.html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