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国际共享河流开发利用的原则与实践</w:t>
      </w:r>
    </w:p>
    <w:p>
      <w:r>
        <w:rPr>
          <w:rFonts w:ascii="宋体" w:hAnsi="宋体" w:eastAsia="宋体"/>
          <w:sz w:val="24"/>
        </w:rPr>
        <w:t>贾金生郑璀莹袁玉兰等国际大坝委员会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国际共享河流开发利用的原则与实践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贾金生郑璀莹袁玉兰等国际大坝委员会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本书出售、求购地址：https://www.jiaokey.com/book/detail/12225118.html</w:t>
      </w:r>
    </w:p>
    <w:p>
      <w:r>
        <w:t>更多相关图书推荐：https://www.jiaokey.com</w:t>
      </w:r>
    </w:p>
    <w:p>
      <w:r>
        <w:t>贾金生郑璀莹袁玉兰等国际大坝委员会 其他作品：https://www.jiaokey.com/tag/贾金生郑璀莹袁玉兰等国际大坝委员会.html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关键词搜索：https://www.jiaokey.com/tag/国际共享河流开发利用的原则与实践.html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