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财政分权与硬预算约束的挑战</w:t>
      </w:r>
    </w:p>
    <w:p>
      <w:r>
        <w:rPr>
          <w:rFonts w:ascii="宋体" w:hAnsi="宋体" w:eastAsia="宋体"/>
          <w:sz w:val="24"/>
        </w:rPr>
        <w:t>（美）乔纳森·雷登（Jonathan Rodden），（美）冈纳·S·埃斯克兰德，（美）詹妮·李维克编辑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财政分权与硬预算约束的挑战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（美）乔纳森·雷登（Jonathan Rodden），（美）冈纳·S·埃斯克兰德，（美）詹妮·李维克编辑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本书出售、求购地址：https://www.jiaokey.com/book/detail/12221863.html</w:t>
      </w:r>
    </w:p>
    <w:p>
      <w:r>
        <w:t>更多相关图书推荐：https://www.jiaokey.com</w:t>
      </w:r>
    </w:p>
    <w:p>
      <w:r>
        <w:t>（美）乔纳森·雷登（Jonathan Rodden），（美）冈纳·S·埃斯克兰德，（美）詹妮·李维克编辑 其他作品：https://www.jiaokey.com/tag/（美）乔纳森·雷登（Jonathan Rodden），（美）冈纳·S·埃斯克兰德，（美）詹妮·李维克编辑.html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关键词搜索：https://www.jiaokey.com/tag/财政分权与硬预算约束的挑战.html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