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资产负债管理  银行家创造价值与控制风险指引</w:t>
      </w:r>
    </w:p>
    <w:p>
      <w:r>
        <w:rPr>
          <w:rFonts w:ascii="宋体" w:hAnsi="宋体" w:eastAsia="宋体"/>
          <w:sz w:val="24"/>
        </w:rPr>
        <w:t>项俊波主编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资产负债管理  银行家创造价值与控制风险指引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本书出售、求购地址：https://www.jiaokey.com/book/detail/12219090.html</w:t>
      </w:r>
    </w:p>
    <w:p>
      <w:r>
        <w:t>更多相关图书推荐：https://www.jiaokey.com</w:t>
      </w:r>
    </w:p>
    <w:p>
      <w:r>
        <w:t>项俊波主编 其他作品：https://www.jiaokey.com/tag/项俊波主编.html</w:t>
      </w:r>
    </w:p>
    <w:p>
      <w:r>
        <w:t>北京市：中国金融出版社 出版图书：https://www.jiaokey.com/tag/北京市：中国金融出版社.html</w:t>
      </w:r>
    </w:p>
    <w:p>
      <w:r>
        <w:t>关键词搜索：https://www.jiaokey.com/tag/资产负债管理  银行家创造价值与控制风险指引.html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