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</w:t>
      </w:r>
    </w:p>
    <w:p>
      <w:r>
        <w:rPr>
          <w:rFonts w:ascii="宋体" w:hAnsi="宋体" w:eastAsia="宋体"/>
          <w:sz w:val="24"/>
        </w:rPr>
        <w:t>谢孔宾，石耿立，谢玉菡等编著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谢孔宾，石耿立，谢玉菡等编著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本书出售、求购地址：https://www.jiaokey.com/book/detail/12215997.html</w:t>
      </w:r>
    </w:p>
    <w:p>
      <w:r>
        <w:t>更多相关图书推荐：https://www.jiaokey.com</w:t>
      </w:r>
    </w:p>
    <w:p>
      <w:r>
        <w:t>谢孔宾，石耿立，谢玉菡等编著 其他作品：https://www.jiaokey.com/tag/谢孔宾，石耿立，谢玉菡等编著.html</w:t>
      </w:r>
    </w:p>
    <w:p>
      <w:r>
        <w:t>北京:人民美术出版社,2009.04 出版图书：https://www.jiaokey.com/tag/北京:人民美术出版社,2009.04.html</w:t>
      </w:r>
    </w:p>
    <w:p>
      <w:r>
        <w:t>关键词搜索：https://www.jiaokey.com/tag/楷书-书法-教材.html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