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如歌·如血·如火：冀中新世纪剧社回忆录</w:t>
      </w:r>
    </w:p>
    <w:p>
      <w:r>
        <w:rPr>
          <w:rFonts w:ascii="宋体" w:hAnsi="宋体" w:eastAsia="宋体"/>
          <w:sz w:val="24"/>
        </w:rPr>
        <w:t>刘光人主编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如歌·如血·如火：冀中新世纪剧社回忆录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本书出售、求购地址：https://www.jiaokey.com/book/detail/12215700.html</w:t>
      </w:r>
    </w:p>
    <w:p>
      <w:r>
        <w:t>更多相关图书推荐：https://www.jiaokey.com</w:t>
      </w:r>
    </w:p>
    <w:p>
      <w:r>
        <w:t>刘光人主编 其他作品：https://www.jiaokey.com/tag/刘光人主编.html</w:t>
      </w:r>
    </w:p>
    <w:p>
      <w:r>
        <w:t>关键词搜索：https://www.jiaokey.com/tag/如歌·如血·如火：冀中新世纪剧社回忆录.html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