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台湾地区财经网路原生媒体内容服务联盟之研究  以钜亨网为例</w:t>
      </w:r>
    </w:p>
    <w:p>
      <w:r>
        <w:rPr>
          <w:rFonts w:ascii="宋体" w:hAnsi="宋体" w:eastAsia="宋体"/>
          <w:sz w:val="24"/>
        </w:rPr>
        <w:t>吕彦男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5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台湾地区财经网路原生媒体内容服务联盟之研究  以钜亨网为例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本书出售、求购地址：https://www.jiaokey.com/book/detail/12215668.html</w:t>
      </w:r>
    </w:p>
    <w:p>
      <w:r>
        <w:t>更多相关图书推荐：https://www.jiaokey.com</w:t>
      </w:r>
    </w:p>
    <w:p>
      <w:r>
        <w:t>吕彦男 其他作品：https://www.jiaokey.com/tag/吕彦男.html</w:t>
      </w:r>
    </w:p>
    <w:p>
      <w:r>
        <w:t>关键词搜索：https://www.jiaokey.com/tag/台湾地区财经网路原生媒体内容服务联盟之研究  以钜亨网为例.html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