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经济增长研究综述</w:t>
      </w:r>
    </w:p>
    <w:p>
      <w:r>
        <w:rPr>
          <w:rFonts w:ascii="宋体" w:hAnsi="宋体" w:eastAsia="宋体"/>
          <w:sz w:val="24"/>
        </w:rPr>
        <w:t>（英）唐纳德·A. R. 乔治，（新西兰）莱斯·奥克斯利，（新西兰）肯尼思·I. 卡劳编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（英）唐纳德·A. R. 乔治，（新西兰）莱斯·奥克斯利，（新西兰）肯尼思·I. 卡劳编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本书出售、求购地址：https://www.jiaokey.com/book/detail/12211982.html</w:t>
      </w:r>
    </w:p>
    <w:p>
      <w:r>
        <w:t>更多相关图书推荐：https://www.jiaokey.com</w:t>
      </w:r>
    </w:p>
    <w:p>
      <w:r>
        <w:t>（英）唐纳德·A. R. 乔治，（新西兰）莱斯·奥克斯利，（新西兰）肯尼思·I. 卡劳编 其他作品：https://www.jiaokey.com/tag/（英）唐纳德·A. R. 乔治，（新西兰）莱斯·奥克斯利，（新西兰）肯尼思·I. 卡劳编.html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关键词搜索：https://www.jiaokey.com/tag/经济增长研究综述.html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