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荆轲刺秦王</w:t>
      </w:r>
    </w:p>
    <w:p>
      <w:r>
        <w:rPr>
          <w:rFonts w:ascii="宋体" w:hAnsi="宋体" w:eastAsia="宋体"/>
          <w:sz w:val="24"/>
        </w:rPr>
        <w:t>（日）荒俣宏著；陈姵如译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荆轲刺秦王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（日）荒俣宏著；陈姵如译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加珈文化事业有限公司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本书出售、求购地址：https://www.jiaokey.com/book/detail/12205396.html</w:t>
      </w:r>
    </w:p>
    <w:p>
      <w:r>
        <w:t>更多相关图书推荐：https://www.jiaokey.com</w:t>
      </w:r>
    </w:p>
    <w:p>
      <w:r>
        <w:t>（日）荒俣宏著；陈姵如译 其他作品：https://www.jiaokey.com/tag/（日）荒俣宏著；陈姵如译.html</w:t>
      </w:r>
    </w:p>
    <w:p>
      <w:r>
        <w:t>加珈文化事业有限公司 出版图书：https://www.jiaokey.com/tag/加珈文化事业有限公司.html</w:t>
      </w:r>
    </w:p>
    <w:p>
      <w:r>
        <w:t>关键词搜索：https://www.jiaokey.com/tag/荆轲刺秦王.html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