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JSP网站架构与实例</w:t>
      </w:r>
    </w:p>
    <w:p>
      <w:r>
        <w:rPr>
          <w:rFonts w:ascii="宋体" w:hAnsi="宋体" w:eastAsia="宋体"/>
          <w:sz w:val="24"/>
        </w:rPr>
        <w:t>黄维晋，盛浩著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JSP网站架构与实例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黄维晋，盛浩著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北京：大恒电子出版社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本书出售、求购地址：https://www.jiaokey.com/book/detail/12204273.html</w:t>
      </w:r>
    </w:p>
    <w:p>
      <w:r>
        <w:t>更多相关图书推荐：https://www.jiaokey.com</w:t>
      </w:r>
    </w:p>
    <w:p>
      <w:r>
        <w:t>黄维晋，盛浩著 其他作品：https://www.jiaokey.com/tag/黄维晋，盛浩著.html</w:t>
      </w:r>
    </w:p>
    <w:p>
      <w:r>
        <w:t>北京：大恒电子出版社 出版图书：https://www.jiaokey.com/tag/北京：大恒电子出版社.html</w:t>
      </w:r>
    </w:p>
    <w:p>
      <w:r>
        <w:t>关键词搜索：https://www.jiaokey.com/tag/JSP网站架构与实例.html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