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超级强势股</w:t>
      </w:r>
    </w:p>
    <w:p>
      <w:r>
        <w:rPr>
          <w:rFonts w:ascii="宋体" w:hAnsi="宋体" w:eastAsia="宋体"/>
          <w:sz w:val="24"/>
        </w:rPr>
        <w:t>（美）肯尼思，L.费雪（KennethL.Fisher）著；高小红，迟云，钟雄鹰等译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超级强势股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（美）肯尼思，L.费雪（KennethL.Fisher）著；高小红，迟云，钟雄鹰等译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本书出售、求购地址：https://www.jiaokey.com/book/detail/12201552.html</w:t>
      </w:r>
    </w:p>
    <w:p>
      <w:r>
        <w:t>更多相关图书推荐：https://www.jiaokey.com</w:t>
      </w:r>
    </w:p>
    <w:p>
      <w:r>
        <w:t>（美）肯尼思，L.费雪（KennethL.Fisher）著；高小红，迟云，钟雄鹰等译 其他作品：https://www.jiaokey.com/tag/（美）肯尼思，L.费雪（KennethL.Fisher）著；高小红，迟云，钟雄鹰等译.html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关键词搜索：https://www.jiaokey.com/tag/超级强势股.html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