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地方遗产的保护与复兴  亚洲近代建筑网络第四次国际会议论文集</w:t>
      </w:r>
    </w:p>
    <w:p>
      <w:r>
        <w:rPr>
          <w:rFonts w:ascii="宋体" w:hAnsi="宋体" w:eastAsia="宋体"/>
          <w:sz w:val="24"/>
        </w:rPr>
        <w:t>卢永毅主编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地方遗产的保护与复兴  亚洲近代建筑网络第四次国际会议论文集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本书出售、求购地址：https://www.jiaokey.com/book/detail/12200672.html</w:t>
      </w:r>
    </w:p>
    <w:p>
      <w:r>
        <w:t>更多相关图书推荐：https://www.jiaokey.com</w:t>
      </w:r>
    </w:p>
    <w:p>
      <w:r>
        <w:t>卢永毅主编 其他作品：https://www.jiaokey.com/tag/卢永毅主编.html</w:t>
      </w:r>
    </w:p>
    <w:p>
      <w:r>
        <w:t>上海：同济大学电子音像出版社 出版图书：https://www.jiaokey.com/tag/上海：同济大学电子音像出版社.html</w:t>
      </w:r>
    </w:p>
    <w:p>
      <w:r>
        <w:t>关键词搜索：https://www.jiaokey.com/tag/地方遗产的保护与复兴  亚洲近代建筑网络第四次国际会议论文集.html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