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但丁</w:t>
      </w:r>
    </w:p>
    <w:p>
      <w:r>
        <w:rPr>
          <w:rFonts w:ascii="宋体" w:hAnsi="宋体" w:eastAsia="宋体"/>
          <w:sz w:val="24"/>
        </w:rPr>
        <w:t>（俄）瓦特松著；翁本泽译；（俄）卡缅斯基著；（俄）别凯托娃著；韦苇译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（俄）瓦特松著；翁本泽译；（俄）卡缅斯基著；（俄）别凯托娃著；韦苇译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本书出售、求购地址：https://www.jiaokey.com/book/detail/12200502.html</w:t>
      </w:r>
    </w:p>
    <w:p>
      <w:r>
        <w:t>更多相关图书推荐：https://www.jiaokey.com</w:t>
      </w:r>
    </w:p>
    <w:p>
      <w:r>
        <w:t>（俄）瓦特松著；翁本泽译；（俄）卡缅斯基著；（俄）别凯托娃著；韦苇译 其他作品：https://www.jiaokey.com/tag/（俄）瓦特松著；翁本泽译；（俄）卡缅斯基著；（俄）别凯托娃著；韦苇译.html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关键词搜索：https://www.jiaokey.com/tag/但丁.html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