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</w:t>
      </w:r>
    </w:p>
    <w:p>
      <w:r>
        <w:rPr>
          <w:rFonts w:ascii="宋体" w:hAnsi="宋体" w:eastAsia="宋体"/>
          <w:sz w:val="24"/>
        </w:rPr>
        <w:t>（俄）普罗托波波夫著；翁本泽译；（俄）斯卡比切夫斯基著；（俄）索洛维约夫著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（俄）普罗托波波夫著；翁本泽译；（俄）斯卡比切夫斯基著；（俄）索洛维约夫著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本书出售、求购地址：https://www.jiaokey.com/book/detail/12200500.html</w:t>
      </w:r>
    </w:p>
    <w:p>
      <w:r>
        <w:t>更多相关图书推荐：https://www.jiaokey.com</w:t>
      </w:r>
    </w:p>
    <w:p>
      <w:r>
        <w:t>（俄）普罗托波波夫著；翁本泽译；（俄）斯卡比切夫斯基著；（俄）索洛维约夫著 其他作品：https://www.jiaokey.com/tag/（俄）普罗托波波夫著；翁本泽译；（俄）斯卡比切夫斯基著；（俄）索洛维约夫著.html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