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财务案例</w:t>
      </w:r>
    </w:p>
    <w:p>
      <w:r>
        <w:rPr>
          <w:rFonts w:ascii="宋体" w:hAnsi="宋体" w:eastAsia="宋体"/>
          <w:sz w:val="24"/>
        </w:rPr>
        <w:t>(美)W.卡尔·凯斯特(W. Carl Kester)，(美)理查德·S.卢拜克(Richard S. Ruback)，(美)彼得·图法诺(Peter Tufaco)著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(美)W.卡尔·凯斯特(W. Carl Kester)，(美)理查德·S.卢拜克(Richard S. Ruback)，(美)彼得·图法诺(Peter Tufaco)著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本书出售、求购地址：https://www.jiaokey.com/book/detail/12188597.html</w:t>
      </w:r>
    </w:p>
    <w:p>
      <w:r>
        <w:t>更多相关图书推荐：https://www.jiaokey.com</w:t>
      </w:r>
    </w:p>
    <w:p>
      <w:r>
        <w:t>(美)W.卡尔·凯斯特(W. Carl Kester)，(美)理查德·S.卢拜克(Richard S. Ruback)，(美)彼得·图法诺(Peter Tufaco)著 其他作品：https://www.jiaokey.com/tag/(美)W.卡尔·凯斯特(W. Carl Kester)，(美)理查德·S.卢拜克(Richard S. Ruback)，(美)彼得·图法诺(Peter Tufaco)著.html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