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全面预算管理案例分析</w:t>
      </w:r>
    </w:p>
    <w:p>
      <w:r>
        <w:rPr>
          <w:rFonts w:ascii="宋体" w:hAnsi="宋体" w:eastAsia="宋体"/>
          <w:sz w:val="24"/>
        </w:rPr>
        <w:t>熊筱燕，解宝贵，王殿龙编（南京师范大学金陵女子学院）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熊筱燕，解宝贵，王殿龙编（南京师范大学金陵女子学院）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本书出售、求购地址：https://www.jiaokey.com/book/detail/12185836.html</w:t>
      </w:r>
    </w:p>
    <w:p>
      <w:r>
        <w:t>更多相关图书推荐：https://www.jiaokey.com</w:t>
      </w:r>
    </w:p>
    <w:p>
      <w:r>
        <w:t>熊筱燕，解宝贵，王殿龙编（南京师范大学金陵女子学院） 其他作品：https://www.jiaokey.com/tag/熊筱燕，解宝贵，王殿龙编（南京师范大学金陵女子学院）.html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关键词搜索：https://www.jiaokey.com/tag/全面预算管理案例分析.html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