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宽严相济刑事政策司法化与公诉裁量权的适用</w:t>
      </w:r>
    </w:p>
    <w:p>
      <w:r>
        <w:rPr>
          <w:rFonts w:ascii="宋体" w:hAnsi="宋体" w:eastAsia="宋体"/>
          <w:sz w:val="24"/>
        </w:rPr>
        <w:t>苗生明主编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宽严相济刑事政策司法化与公诉裁量权的适用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本书出售、求购地址：https://www.jiaokey.com/book/detail/12185460.html</w:t>
      </w:r>
    </w:p>
    <w:p>
      <w:r>
        <w:t>更多相关图书推荐：https://www.jiaokey.com</w:t>
      </w:r>
    </w:p>
    <w:p>
      <w:r>
        <w:t>苗生明主编 其他作品：https://www.jiaokey.com/tag/苗生明主编.html</w:t>
      </w:r>
    </w:p>
    <w:p>
      <w:r>
        <w:t>法律出版社 出版图书：https://www.jiaokey.com/tag/法律出版社.html</w:t>
      </w:r>
    </w:p>
    <w:p>
      <w:r>
        <w:t>关键词搜索：https://www.jiaokey.com/tag/宽严相济刑事政策司法化与公诉裁量权的适用.html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