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用科学发展观创新解“三农”特色战略与方法  下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用科学发展观创新解“三农”特色战略与方法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本书出售、求购地址：https://www.jiaokey.com/book/detail/12181617.html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