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2004-2005  第3卷  产品分册  下</w:t>
      </w:r>
    </w:p>
    <w:p>
      <w:r>
        <w:rPr>
          <w:rFonts w:ascii="宋体" w:hAnsi="宋体" w:eastAsia="宋体"/>
          <w:sz w:val="24"/>
        </w:rPr>
        <w:t>黄升民主编；北京博统正析数据信息咨询有限公司等编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2004-2005  第3卷  产品分册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黄升民主编；北京博统正析数据信息咨询有限公司等编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本书出售、求购地址：https://www.jiaokey.com/book/detail/12179236.html</w:t>
      </w:r>
    </w:p>
    <w:p>
      <w:r>
        <w:t>更多相关图书推荐：https://www.jiaokey.com</w:t>
      </w:r>
    </w:p>
    <w:p>
      <w:r>
        <w:t>黄升民主编；北京博统正析数据信息咨询有限公司等编 其他作品：https://www.jiaokey.com/tag/黄升民主编；北京博统正析数据信息咨询有限公司等编.html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关键词搜索：https://www.jiaokey.com/tag/IMI消费行为与生活形态年鉴  2004-2005  第3卷  产品分册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