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第20册  卷二百八十五至二百九十四  后晋齐王开运二年乙巳八月起  后周世宗显德六年己未止</w:t>
      </w:r>
    </w:p>
    <w:p>
      <w:r>
        <w:rPr>
          <w:rFonts w:ascii="宋体" w:hAnsi="宋体" w:eastAsia="宋体"/>
          <w:sz w:val="24"/>
        </w:rPr>
        <w:t>(宋)司马光编著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第20册  卷二百八十五至二百九十四  后晋齐王开运二年乙巳八月起  后周世宗显德六年己未止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本书出售、求购地址：https://www.jiaokey.com/book/detail/12173197.html</w:t>
      </w:r>
    </w:p>
    <w:p>
      <w:r>
        <w:t>更多相关图书推荐：https://www.jiaokey.com</w:t>
      </w:r>
    </w:p>
    <w:p>
      <w:r>
        <w:t>(宋)司马光编著 其他作品：https://www.jiaokey.com/tag/(宋)司马光编著.html</w:t>
      </w:r>
    </w:p>
    <w:p>
      <w:r>
        <w:t>关键词搜索：https://www.jiaokey.com/tag/资治通鉴  第20册  卷二百八十五至二百九十四  后晋齐王开运二年乙巳八月起  后周世宗显德六年己未止.html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