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第3册  卷二十八至四十三  汉元帝初元元年癸酉起  汉光武帝建武二十二年丙午止</w:t>
      </w:r>
    </w:p>
    <w:p>
      <w:r>
        <w:rPr>
          <w:rFonts w:ascii="宋体" w:hAnsi="宋体" w:eastAsia="宋体"/>
          <w:sz w:val="24"/>
        </w:rPr>
        <w:t>(宋)司马光编著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第3册  卷二十八至四十三  汉元帝初元元年癸酉起  汉光武帝建武二十二年丙午止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(宋)司马光编著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本书出售、求购地址：https://www.jiaokey.com/book/detail/12173180.html</w:t>
      </w:r>
    </w:p>
    <w:p>
      <w:r>
        <w:t>更多相关图书推荐：https://www.jiaokey.com</w:t>
      </w:r>
    </w:p>
    <w:p>
      <w:r>
        <w:t>(宋)司马光编著 其他作品：https://www.jiaokey.com/tag/(宋)司马光编著.html</w:t>
      </w:r>
    </w:p>
    <w:p>
      <w:r>
        <w:t>关键词搜索：https://www.jiaokey.com/tag/资治通鉴  第3册  卷二十八至四十三  汉元帝初元元年癸酉起  汉光武帝建武二十二年丙午止.html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