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改革税制增强企业活力</w:t>
      </w:r>
    </w:p>
    <w:p>
      <w:r>
        <w:rPr>
          <w:rFonts w:ascii="宋体" w:hAnsi="宋体" w:eastAsia="宋体"/>
          <w:sz w:val="24"/>
        </w:rPr>
        <w:t>中国税务学会搞活大中型企业课题组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改革税制增强企业活力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中国税务学会搞活大中型企业课题组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本书出售、求购地址：https://www.jiaokey.com/book/detail/12170801.html</w:t>
      </w:r>
    </w:p>
    <w:p>
      <w:r>
        <w:t>更多相关图书推荐：https://www.jiaokey.com</w:t>
      </w:r>
    </w:p>
    <w:p>
      <w:r>
        <w:t>中国税务学会搞活大中型企业课题组 其他作品：https://www.jiaokey.com/tag/中国税务学会搞活大中型企业课题组.html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关键词搜索：https://www.jiaokey.com/tag/改革税制增强企业活力.html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