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神农本草经读卷一至卷四</w:t>
      </w:r>
    </w:p>
    <w:p>
      <w:r>
        <w:rPr>
          <w:rFonts w:ascii="宋体" w:hAnsi="宋体" w:eastAsia="宋体"/>
          <w:sz w:val="24"/>
        </w:rPr>
        <w:t>闽吴航陈念祖修园甫著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神农本草经读卷一至卷四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闽吴航陈念祖修园甫著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本书出售、求购地址：https://www.jiaokey.com/book/detail/12170497.html</w:t>
      </w:r>
    </w:p>
    <w:p>
      <w:r>
        <w:t>更多相关图书推荐：https://www.jiaokey.com</w:t>
      </w:r>
    </w:p>
    <w:p>
      <w:r>
        <w:t>闽吴航陈念祖修园甫著 其他作品：https://www.jiaokey.com/tag/闽吴航陈念祖修园甫著.html</w:t>
      </w:r>
    </w:p>
    <w:p>
      <w:r>
        <w:t>上海锦章书局出版社 出版图书：https://www.jiaokey.com/tag/上海锦章书局出版社.html</w:t>
      </w:r>
    </w:p>
    <w:p>
      <w:r>
        <w:t>关键词搜索：https://www.jiaokey.com/tag/神农本草经读卷一至卷四.html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