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中华人民共和国档案法实施办法条文释义</w:t>
      </w:r>
    </w:p>
    <w:p>
      <w:r>
        <w:rPr>
          <w:rFonts w:ascii="宋体" w:hAnsi="宋体" w:eastAsia="宋体"/>
          <w:sz w:val="24"/>
        </w:rPr>
        <w:t>国家档案局、国务院法制局档案法实施办法条文释义编写组编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中华人民共和国档案法实施办法条文释义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国家档案局、国务院法制局档案法实施办法条文释义编写组编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本书出售、求购地址：https://www.jiaokey.com/book/detail/12169580.html</w:t>
      </w:r>
    </w:p>
    <w:p>
      <w:r>
        <w:t>更多相关图书推荐：https://www.jiaokey.com</w:t>
      </w:r>
    </w:p>
    <w:p>
      <w:r>
        <w:t>国家档案局、国务院法制局档案法实施办法条文释义编写组编 其他作品：https://www.jiaokey.com/tag/国家档案局、国务院法制局档案法实施办法条文释义编写组编.html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关键词搜索：https://www.jiaokey.com/tag/中华人民共和国档案法实施办法条文释义.html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