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宽严相济刑事政策与和谐社会构建</w:t>
      </w:r>
    </w:p>
    <w:p>
      <w:r>
        <w:rPr>
          <w:rFonts w:ascii="宋体" w:hAnsi="宋体" w:eastAsia="宋体"/>
          <w:sz w:val="24"/>
        </w:rPr>
        <w:t>赵秉志，种松志，韩豫宛主编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宽严相济刑事政策与和谐社会构建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赵秉志，种松志，韩豫宛主编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本书出售、求购地址：https://www.jiaokey.com/book/detail/12166223.html</w:t>
      </w:r>
    </w:p>
    <w:p>
      <w:r>
        <w:t>更多相关图书推荐：https://www.jiaokey.com</w:t>
      </w:r>
    </w:p>
    <w:p>
      <w:r>
        <w:t>赵秉志，种松志，韩豫宛主编 其他作品：https://www.jiaokey.com/tag/赵秉志，种松志，韩豫宛主编.html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关键词搜索：https://www.jiaokey.com/tag/宽严相济刑事政策与和谐社会构建.html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