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投入产出（部门联系平衡）法（初稿）</w:t>
      </w:r>
    </w:p>
    <w:p>
      <w:r>
        <w:rPr>
          <w:rFonts w:ascii="宋体" w:hAnsi="宋体" w:eastAsia="宋体"/>
          <w:sz w:val="24"/>
        </w:rPr>
        <w:t>钟契夫，邵汉青编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投入产出（部门联系平衡）法（初稿）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钟契夫，邵汉青编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国家统计局教育组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本书出售、求购地址：https://www.jiaokey.com/book/detail/12163634.html</w:t>
      </w:r>
    </w:p>
    <w:p>
      <w:r>
        <w:t>更多相关图书推荐：https://www.jiaokey.com</w:t>
      </w:r>
    </w:p>
    <w:p>
      <w:r>
        <w:t>钟契夫，邵汉青编 其他作品：https://www.jiaokey.com/tag/钟契夫，邵汉青编.html</w:t>
      </w:r>
    </w:p>
    <w:p>
      <w:r>
        <w:t>国家统计局教育组 出版图书：https://www.jiaokey.com/tag/国家统计局教育组.html</w:t>
      </w:r>
    </w:p>
    <w:p>
      <w:r>
        <w:t>关键词搜索：https://www.jiaokey.com/tag/投入产出（部门联系平衡）法（初稿）.html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