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近代文艺的背景</w:t>
      </w:r>
    </w:p>
    <w:p>
      <w:r>
        <w:rPr>
          <w:rFonts w:ascii="宋体" w:hAnsi="宋体" w:eastAsia="宋体"/>
          <w:sz w:val="24"/>
        </w:rPr>
        <w:t>（日）内崎作三郎著；王璧如译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近代文艺的背景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（日）内崎作三郎著；王璧如译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本书出售、求购地址：https://www.jiaokey.com/book/detail/12163429.html</w:t>
      </w:r>
    </w:p>
    <w:p>
      <w:r>
        <w:t>更多相关图书推荐：https://www.jiaokey.com</w:t>
      </w:r>
    </w:p>
    <w:p>
      <w:r>
        <w:t>（日）内崎作三郎著；王璧如译 其他作品：https://www.jiaokey.com/tag/（日）内崎作三郎著；王璧如译.html</w:t>
      </w:r>
    </w:p>
    <w:p>
      <w:r>
        <w:t>北新书局 出版图书：https://www.jiaokey.com/tag/北新书局.html</w:t>
      </w:r>
    </w:p>
    <w:p>
      <w:r>
        <w:t>关键词搜索：https://www.jiaokey.com/tag/近代文艺的背景.html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