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苏维埃爱国主义与资产阶级世界主义</w:t>
      </w:r>
    </w:p>
    <w:p>
      <w:r>
        <w:rPr>
          <w:rFonts w:ascii="宋体" w:hAnsi="宋体" w:eastAsia="宋体"/>
          <w:sz w:val="24"/>
        </w:rPr>
        <w:t>（苏）季达连科（С.Л.Титаренко）撰；李逸译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苏维埃爱国主义与资产阶级世界主义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（苏）季达连科（С.Л.Титаренко）撰；李逸译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本书出售、求购地址：https://www.jiaokey.com/book/detail/12163404.html</w:t>
      </w:r>
    </w:p>
    <w:p>
      <w:r>
        <w:t>更多相关图书推荐：https://www.jiaokey.com</w:t>
      </w:r>
    </w:p>
    <w:p>
      <w:r>
        <w:t>（苏）季达连科（С.Л.Титаренко）撰；李逸译 其他作品：https://www.jiaokey.com/tag/（苏）季达连科（С.Л.Титаренко）撰；李逸译.html</w:t>
      </w:r>
    </w:p>
    <w:p>
      <w:r>
        <w:t>中外出版社 出版图书：https://www.jiaokey.com/tag/中外出版社.html</w:t>
      </w:r>
    </w:p>
    <w:p>
      <w:r>
        <w:t>关键词搜索：https://www.jiaokey.com/tag/苏维埃爱国主义与资产阶级世界主义.html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