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打眼放炮工作图解</w:t>
      </w:r>
    </w:p>
    <w:p>
      <w:r>
        <w:rPr>
          <w:rFonts w:ascii="宋体" w:hAnsi="宋体" w:eastAsia="宋体"/>
          <w:sz w:val="24"/>
        </w:rPr>
        <w:t>（苏）谢特勒尔（Г.А.Шетлер）等著；蔡锦铸，米震声译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打眼放炮工作图解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（苏）谢特勒尔（Г.А.Шетлер）等著；蔡锦铸，米震声译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本书出售、求购地址：https://www.jiaokey.com/book/detail/12157333.html</w:t>
      </w:r>
    </w:p>
    <w:p>
      <w:r>
        <w:t>更多相关图书推荐：https://www.jiaokey.com</w:t>
      </w:r>
    </w:p>
    <w:p>
      <w:r>
        <w:t>（苏）谢特勒尔（Г.А.Шетлер）等著；蔡锦铸，米震声译 其他作品：https://www.jiaokey.com/tag/（苏）谢特勒尔（Г.А.Шетлер）等著；蔡锦铸，米震声译.html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关键词搜索：https://www.jiaokey.com/tag/打眼放炮工作图解.html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