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独生子女与独生子女家庭</w:t>
      </w:r>
    </w:p>
    <w:p>
      <w:r>
        <w:rPr>
          <w:rFonts w:ascii="宋体" w:hAnsi="宋体" w:eastAsia="宋体"/>
          <w:sz w:val="24"/>
        </w:rPr>
        <w:t>（美）托妮·法尔博（Toni Falbo）主编；王亚南主译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独生子女与独生子女家庭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（美）托妮·法尔博（Toni Falbo）主编；王亚南主译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本书出售、求购地址：https://www.jiaokey.com/book/detail/12157182.html</w:t>
      </w:r>
    </w:p>
    <w:p>
      <w:r>
        <w:t>更多相关图书推荐：https://www.jiaokey.com</w:t>
      </w:r>
    </w:p>
    <w:p>
      <w:r>
        <w:t>（美）托妮·法尔博（Toni Falbo）主编；王亚南主译 其他作品：https://www.jiaokey.com/tag/（美）托妮·法尔博（Toni Falbo）主编；王亚南主译.html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关键词搜索：https://www.jiaokey.com/tag/独生子女与独生子女家庭.html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