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鱼类营养需要与饲养</w:t>
      </w:r>
    </w:p>
    <w:p>
      <w:r>
        <w:rPr>
          <w:rFonts w:ascii="宋体" w:hAnsi="宋体" w:eastAsia="宋体"/>
          <w:sz w:val="24"/>
        </w:rPr>
        <w:t>（美）韦伯斯特 CD（Carl D. Webster），（美）林姆 CE（Chhorn Lim）主编；卢庆萍，杨琳主译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鱼类营养需要与饲养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 CD（Carl D. Webster），（美）林姆 CE（Chhorn Lim）主编；卢庆萍，杨琳主译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本书出售、求购地址：https://www.jiaokey.com/book/detail/12156813.html</w:t>
      </w:r>
    </w:p>
    <w:p>
      <w:r>
        <w:t>更多相关图书推荐：https://www.jiaokey.com</w:t>
      </w:r>
    </w:p>
    <w:p>
      <w:r>
        <w:t>（美）韦伯斯特 CD（Carl D. Webster），（美）林姆 CE（Chhorn Lim）主编；卢庆萍，杨琳主译 其他作品：https://www.jiaokey.com/tag/（美）韦伯斯特 CD（Carl D. Webster），（美）林姆 CE（Chhorn Lim）主编；卢庆萍，杨琳主译.html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关键词搜索：https://www.jiaokey.com/tag/鱼类营养需要与饲养.html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