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2003文字处理操作指南</w:t>
      </w:r>
    </w:p>
    <w:p>
      <w:r>
        <w:rPr>
          <w:rFonts w:ascii="宋体" w:hAnsi="宋体" w:eastAsia="宋体"/>
          <w:sz w:val="24"/>
        </w:rPr>
        <w:t>一线工作室著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2003文字处理操作指南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本书出售、求购地址：https://www.jiaokey.com/book/detail/12153826.html</w:t>
      </w:r>
    </w:p>
    <w:p>
      <w:r>
        <w:t>更多相关图书推荐：https://www.jiaokey.com</w:t>
      </w:r>
    </w:p>
    <w:p>
      <w:r>
        <w:t>一线工作室著 其他作品：https://www.jiaokey.com/tag/一线工作室著.html</w:t>
      </w:r>
    </w:p>
    <w:p>
      <w:r>
        <w:t>四川远程电子出版社 出版图书：https://www.jiaokey.com/tag/四川远程电子出版社.html</w:t>
      </w:r>
    </w:p>
    <w:p>
      <w:r>
        <w:t>关键词搜索：https://www.jiaokey.com/tag/Word 2003文字处理操作指南.html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