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永不低头：凡突破逆境者，必挥泪收割</w:t>
      </w:r>
    </w:p>
    <w:p>
      <w:r>
        <w:rPr>
          <w:rFonts w:ascii="宋体" w:hAnsi="宋体" w:eastAsia="宋体"/>
          <w:sz w:val="24"/>
        </w:rPr>
        <w:t>浅尾法灯著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永不低头：凡突破逆境者，必挥泪收割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浅尾法灯著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本书出售、求购地址：https://www.jiaokey.com/book/detail/12148324.html</w:t>
      </w:r>
    </w:p>
    <w:p>
      <w:r>
        <w:t>更多相关图书推荐：https://www.jiaokey.com</w:t>
      </w:r>
    </w:p>
    <w:p>
      <w:r>
        <w:t>浅尾法灯著 其他作品：https://www.jiaokey.com/tag/浅尾法灯著.html</w:t>
      </w:r>
    </w:p>
    <w:p>
      <w:r>
        <w:t>关键词搜索：https://www.jiaokey.com/tag/永不低头：凡突破逆境者，必挥泪收割.html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