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武田信玄的乱世成功法则：活用于现代的88则愿望实现法</w:t>
      </w:r>
    </w:p>
    <w:p>
      <w:r>
        <w:rPr>
          <w:rFonts w:ascii="宋体" w:hAnsi="宋体" w:eastAsia="宋体"/>
          <w:sz w:val="24"/>
        </w:rPr>
        <w:t>松本幸夫著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武田信玄的乱世成功法则：活用于现代的88则愿望实现法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本书出售、求购地址：https://www.jiaokey.com/book/detail/12148294.html</w:t>
      </w:r>
    </w:p>
    <w:p>
      <w:r>
        <w:t>更多相关图书推荐：https://www.jiaokey.com</w:t>
      </w:r>
    </w:p>
    <w:p>
      <w:r>
        <w:t>松本幸夫著 其他作品：https://www.jiaokey.com/tag/松本幸夫著.html</w:t>
      </w:r>
    </w:p>
    <w:p>
      <w:r>
        <w:t>关键词搜索：https://www.jiaokey.com/tag/武田信玄的乱世成功法则：活用于现代的88则愿望实现法.html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