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平衡全球经济差距：关于“千年发展目标”之目标8“全球合作促进发展”的建设</w:t>
      </w:r>
    </w:p>
    <w:p>
      <w:r>
        <w:rPr>
          <w:rFonts w:ascii="宋体" w:hAnsi="宋体" w:eastAsia="宋体"/>
          <w:sz w:val="24"/>
        </w:rPr>
        <w:t>许国平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平衡全球经济差距：关于“千年发展目标”之目标8“全球合作促进发展”的建设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本书出售、求购地址：https://www.jiaokey.com/book/detail/12146256.html</w:t>
      </w:r>
    </w:p>
    <w:p>
      <w:r>
        <w:t>更多相关图书推荐：https://www.jiaokey.com</w:t>
      </w:r>
    </w:p>
    <w:p>
      <w:r>
        <w:t>许国平 其他作品：https://www.jiaokey.com/tag/许国平.html</w:t>
      </w:r>
    </w:p>
    <w:p>
      <w:r>
        <w:t>关键词搜索：https://www.jiaokey.com/tag/平衡全球经济差距：关于“千年发展目标”之目标8“全球合作促进发展”的建设.html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