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不确定的状况下的判断  启发式和偏差</w:t>
      </w:r>
    </w:p>
    <w:p>
      <w:r>
        <w:rPr>
          <w:rFonts w:ascii="宋体" w:hAnsi="宋体" w:eastAsia="宋体"/>
          <w:sz w:val="24"/>
        </w:rPr>
        <w:t>（美）丹尼尔·卡尼曼，（美）保罗·斯洛维奇，（美）阿莫斯·特沃斯基编，方文，吴新利，张擘等译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不确定的状况下的判断  启发式和偏差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（美）丹尼尔·卡尼曼，（美）保罗·斯洛维奇，（美）阿莫斯·特沃斯基编，方文，吴新利，张擘等译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本书出售、求购地址：https://www.jiaokey.com/book/detail/12144651.html</w:t>
      </w:r>
    </w:p>
    <w:p>
      <w:r>
        <w:t>更多相关图书推荐：https://www.jiaokey.com</w:t>
      </w:r>
    </w:p>
    <w:p>
      <w:r>
        <w:t>（美）丹尼尔·卡尼曼，（美）保罗·斯洛维奇，（美）阿莫斯·特沃斯基编，方文，吴新利，张擘等译 其他作品：https://www.jiaokey.com/tag/（美）丹尼尔·卡尼曼，（美）保罗·斯洛维奇，（美）阿莫斯·特沃斯基编，方文，吴新利，张擘等译.html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关键词搜索：https://www.jiaokey.com/tag/不确定的状况下的判断  启发式和偏差.html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