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社会经济形态</w:t>
      </w:r>
    </w:p>
    <w:p>
      <w:r>
        <w:rPr>
          <w:rFonts w:ascii="宋体" w:hAnsi="宋体" w:eastAsia="宋体"/>
          <w:sz w:val="24"/>
        </w:rPr>
        <w:t>（苏）拉苏莫夫斯基撰；沈志远译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（苏）拉苏莫夫斯基撰；沈志远译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本书出售、求购地址：https://www.jiaokey.com/book/detail/12140121.html</w:t>
      </w:r>
    </w:p>
    <w:p>
      <w:r>
        <w:t>更多相关图书推荐：https://www.jiaokey.com</w:t>
      </w:r>
    </w:p>
    <w:p>
      <w:r>
        <w:t>（苏）拉苏莫夫斯基撰；沈志远译 其他作品：https://www.jiaokey.com/tag/（苏）拉苏莫夫斯基撰；沈志远译.html</w:t>
      </w:r>
    </w:p>
    <w:p>
      <w:r>
        <w:t>华东新华书店 出版图书：https://www.jiaokey.com/tag/华东新华书店.html</w:t>
      </w:r>
    </w:p>
    <w:p>
      <w:r>
        <w:t>关键词搜索：https://www.jiaokey.com/tag/社会经济形态.html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