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第四册  志三</w:t>
      </w:r>
    </w:p>
    <w:p>
      <w:r>
        <w:rPr>
          <w:rFonts w:ascii="宋体" w:hAnsi="宋体" w:eastAsia="宋体"/>
          <w:sz w:val="24"/>
        </w:rPr>
        <w:t>王建朗，荣维木本册主编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第四册  志三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王建朗，荣维木本册主编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本书出售、求购地址：https://www.jiaokey.com/book/detail/12136017.html</w:t>
      </w:r>
    </w:p>
    <w:p>
      <w:r>
        <w:t>更多相关图书推荐：https://www.jiaokey.com</w:t>
      </w:r>
    </w:p>
    <w:p>
      <w:r>
        <w:t>王建朗，荣维木本册主编 其他作品：https://www.jiaokey.com/tag/王建朗，荣维木本册主编.html</w:t>
      </w:r>
    </w:p>
    <w:p>
      <w:r>
        <w:t>四川出版集团 出版图书：https://www.jiaokey.com/tag/四川出版集团.html</w:t>
      </w:r>
    </w:p>
    <w:p>
      <w:r>
        <w:t>关键词搜索：https://www.jiaokey.com/tag/中华民国史  第四册  志三.html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