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湖南省各类人员财务开支标准大全</w:t>
      </w:r>
    </w:p>
    <w:p>
      <w:r>
        <w:rPr>
          <w:rFonts w:ascii="宋体" w:hAnsi="宋体" w:eastAsia="宋体"/>
          <w:sz w:val="24"/>
        </w:rPr>
        <w:t>李长庚主编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湖南省各类人员财务开支标准大全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李长庚主编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本书出售、求购地址：https://www.jiaokey.com/book/detail/12133642.html</w:t>
      </w:r>
    </w:p>
    <w:p>
      <w:r>
        <w:t>更多相关图书推荐：https://www.jiaokey.com</w:t>
      </w:r>
    </w:p>
    <w:p>
      <w:r>
        <w:t>李长庚主编 其他作品：https://www.jiaokey.com/tag/李长庚主编.html</w:t>
      </w:r>
    </w:p>
    <w:p>
      <w:r>
        <w:t>长沙：湖南出版社 出版图书：https://www.jiaokey.com/tag/长沙：湖南出版社.html</w:t>
      </w:r>
    </w:p>
    <w:p>
      <w:r>
        <w:t>关键词搜索：https://www.jiaokey.com/tag/湖南省各类人员财务开支标准大全.html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