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小教授工程型微处理机专题制作  第2版</w:t>
      </w:r>
    </w:p>
    <w:p>
      <w:r>
        <w:rPr>
          <w:rFonts w:ascii="宋体" w:hAnsi="宋体" w:eastAsia="宋体"/>
          <w:sz w:val="24"/>
        </w:rPr>
        <w:t>钟富昭，林火树编著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小教授工程型微处理机专题制作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钟富昭，林火树编著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全华科技图书股份有限公司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本书出售、求购地址：https://www.jiaokey.com/book/detail/12133048.html</w:t>
      </w:r>
    </w:p>
    <w:p>
      <w:r>
        <w:t>更多相关图书推荐：https://www.jiaokey.com</w:t>
      </w:r>
    </w:p>
    <w:p>
      <w:r>
        <w:t>钟富昭，林火树编著 其他作品：https://www.jiaokey.com/tag/钟富昭，林火树编著.html</w:t>
      </w:r>
    </w:p>
    <w:p>
      <w:r>
        <w:t>全华科技图书股份有限公司 出版图书：https://www.jiaokey.com/tag/全华科技图书股份有限公司.html</w:t>
      </w:r>
    </w:p>
    <w:p>
      <w:r>
        <w:t>关键词搜索：https://www.jiaokey.com/tag/小教授工程型微处理机专题制作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