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日本企业在日圆升值下之因应策略</w:t>
      </w:r>
    </w:p>
    <w:p>
      <w:r>
        <w:rPr>
          <w:rFonts w:ascii="宋体" w:hAnsi="宋体" w:eastAsia="宋体"/>
          <w:sz w:val="24"/>
        </w:rPr>
        <w:t>许斐义信著；黄星满编译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日本企业在日圆升值下之因应策略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许斐义信著；黄星满编译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本书出售、求购地址：https://www.jiaokey.com/book/detail/12132905.html</w:t>
      </w:r>
    </w:p>
    <w:p>
      <w:r>
        <w:t>更多相关图书推荐：https://www.jiaokey.com</w:t>
      </w:r>
    </w:p>
    <w:p>
      <w:r>
        <w:t>许斐义信著；黄星满编译 其他作品：https://www.jiaokey.com/tag/许斐义信著；黄星满编译.html</w:t>
      </w:r>
    </w:p>
    <w:p>
      <w:r>
        <w:t>书泉出版社 出版图书：https://www.jiaokey.com/tag/书泉出版社.html</w:t>
      </w:r>
    </w:p>
    <w:p>
      <w:r>
        <w:t>关键词搜索：https://www.jiaokey.com/tag/日本企业在日圆升值下之因应策略.html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