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教育之基本原理</w:t>
      </w:r>
    </w:p>
    <w:p>
      <w:r>
        <w:rPr>
          <w:rFonts w:ascii="宋体" w:hAnsi="宋体" w:eastAsia="宋体"/>
          <w:sz w:val="24"/>
        </w:rPr>
        <w:t>（美）桑戴克，（美）盖次著；宋桂煌译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（美）桑戴克，（美）盖次著；宋桂煌译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本书出售、求购地址：https://www.jiaokey.com/book/detail/12128373.html</w:t>
      </w:r>
    </w:p>
    <w:p>
      <w:r>
        <w:t>更多相关图书推荐：https://www.jiaokey.com</w:t>
      </w:r>
    </w:p>
    <w:p>
      <w:r>
        <w:t>（美）桑戴克，（美）盖次著；宋桂煌译 其他作品：https://www.jiaokey.com/tag/（美）桑戴克，（美）盖次著；宋桂煌译.html</w:t>
      </w:r>
    </w:p>
    <w:p>
      <w:r>
        <w:t>商务印书馆 出版图书：https://www.jiaokey.com/tag/商务印书馆.html</w:t>
      </w:r>
    </w:p>
    <w:p>
      <w:r>
        <w:t>关键词搜索：https://www.jiaokey.com/tag/教育之基本原理.html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