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现象的组合：中国现代文学史的另一种解读方式</w:t>
      </w:r>
    </w:p>
    <w:p>
      <w:r>
        <w:rPr>
          <w:rFonts w:ascii="宋体" w:hAnsi="宋体" w:eastAsia="宋体"/>
          <w:sz w:val="24"/>
        </w:rPr>
        <w:t>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现象的组合：中国现代文学史的另一种解读方式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岳簏书社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本书出售、求购地址：https://www.jiaokey.com/book/detail/12126600.html</w:t>
      </w:r>
    </w:p>
    <w:p>
      <w:r>
        <w:t>更多相关图书推荐：https://www.jiaokey.com</w:t>
      </w:r>
    </w:p>
    <w:p>
      <w:r>
        <w:t>宋剑华著 其他作品：https://www.jiaokey.com/tag/宋剑华著.html</w:t>
      </w:r>
    </w:p>
    <w:p>
      <w:r>
        <w:t>岳簏书社 出版图书：https://www.jiaokey.com/tag/岳簏书社.html</w:t>
      </w:r>
    </w:p>
    <w:p>
      <w:r>
        <w:t>关键词搜索：https://www.jiaokey.com/tag/现象的组合：中国现代文学史的另一种解读方式.html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